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A977" w14:textId="77777777" w:rsidR="003F221D" w:rsidRPr="003F221D" w:rsidRDefault="003F221D" w:rsidP="003F221D">
      <w:pPr>
        <w:spacing w:after="0" w:line="240" w:lineRule="auto"/>
        <w:jc w:val="both"/>
      </w:pPr>
      <w:proofErr w:type="spellStart"/>
      <w:r w:rsidRPr="003F221D">
        <w:t>Memperkenalkan</w:t>
      </w:r>
      <w:proofErr w:type="spellEnd"/>
      <w:r w:rsidRPr="003F221D">
        <w:t xml:space="preserve"> </w:t>
      </w:r>
      <w:proofErr w:type="spellStart"/>
      <w:r w:rsidRPr="003F221D">
        <w:t>sebuah</w:t>
      </w:r>
      <w:proofErr w:type="spellEnd"/>
      <w:r w:rsidRPr="003F221D">
        <w:t xml:space="preserve"> </w:t>
      </w:r>
      <w:proofErr w:type="spellStart"/>
      <w:r w:rsidRPr="003F221D">
        <w:t>sistem</w:t>
      </w:r>
      <w:proofErr w:type="spellEnd"/>
      <w:r w:rsidRPr="003F221D">
        <w:t xml:space="preserve"> </w:t>
      </w:r>
      <w:proofErr w:type="spellStart"/>
      <w:r w:rsidRPr="003F221D">
        <w:t>eksperimental</w:t>
      </w:r>
      <w:proofErr w:type="spellEnd"/>
      <w:r w:rsidRPr="003F221D">
        <w:t xml:space="preserve"> yang </w:t>
      </w:r>
      <w:proofErr w:type="spellStart"/>
      <w:r w:rsidRPr="003F221D">
        <w:t>didedikasikan</w:t>
      </w:r>
      <w:proofErr w:type="spellEnd"/>
      <w:r w:rsidRPr="003F221D">
        <w:t xml:space="preserve"> </w:t>
      </w:r>
      <w:proofErr w:type="spellStart"/>
      <w:r w:rsidRPr="003F221D">
        <w:t>secara</w:t>
      </w:r>
      <w:proofErr w:type="spellEnd"/>
      <w:r w:rsidRPr="003F221D">
        <w:t xml:space="preserve"> </w:t>
      </w:r>
      <w:proofErr w:type="spellStart"/>
      <w:r w:rsidRPr="003F221D">
        <w:t>khusus</w:t>
      </w:r>
      <w:proofErr w:type="spellEnd"/>
      <w:r w:rsidRPr="003F221D">
        <w:t xml:space="preserve"> </w:t>
      </w:r>
      <w:proofErr w:type="spellStart"/>
      <w:r w:rsidRPr="003F221D">
        <w:t>untuk</w:t>
      </w:r>
      <w:proofErr w:type="spellEnd"/>
      <w:r w:rsidRPr="003F221D">
        <w:t xml:space="preserve"> </w:t>
      </w:r>
      <w:proofErr w:type="spellStart"/>
      <w:r w:rsidRPr="003F221D">
        <w:t>studi</w:t>
      </w:r>
      <w:proofErr w:type="spellEnd"/>
      <w:r w:rsidRPr="003F221D">
        <w:t xml:space="preserve"> </w:t>
      </w:r>
      <w:proofErr w:type="spellStart"/>
      <w:r w:rsidRPr="003F221D">
        <w:t>mendalam</w:t>
      </w:r>
      <w:proofErr w:type="spellEnd"/>
      <w:r w:rsidRPr="003F221D">
        <w:t xml:space="preserve"> </w:t>
      </w:r>
      <w:proofErr w:type="spellStart"/>
      <w:r w:rsidRPr="003F221D">
        <w:t>tentang</w:t>
      </w:r>
      <w:proofErr w:type="spellEnd"/>
      <w:r w:rsidRPr="003F221D">
        <w:t xml:space="preserve"> </w:t>
      </w:r>
      <w:proofErr w:type="spellStart"/>
      <w:r w:rsidRPr="003F221D">
        <w:t>Efek</w:t>
      </w:r>
      <w:proofErr w:type="spellEnd"/>
      <w:r w:rsidRPr="003F221D">
        <w:t xml:space="preserve"> Hall </w:t>
      </w:r>
      <w:proofErr w:type="spellStart"/>
      <w:r w:rsidRPr="003F221D">
        <w:t>sebuah</w:t>
      </w:r>
      <w:proofErr w:type="spellEnd"/>
      <w:r w:rsidRPr="003F221D">
        <w:t xml:space="preserve"> </w:t>
      </w:r>
      <w:proofErr w:type="spellStart"/>
      <w:r w:rsidRPr="003F221D">
        <w:t>prinsip</w:t>
      </w:r>
      <w:proofErr w:type="spellEnd"/>
      <w:r w:rsidRPr="003F221D">
        <w:t xml:space="preserve"> </w:t>
      </w:r>
      <w:proofErr w:type="spellStart"/>
      <w:r w:rsidRPr="003F221D">
        <w:t>fisika</w:t>
      </w:r>
      <w:proofErr w:type="spellEnd"/>
      <w:r w:rsidRPr="003F221D">
        <w:t xml:space="preserve"> </w:t>
      </w:r>
      <w:proofErr w:type="spellStart"/>
      <w:r w:rsidRPr="003F221D">
        <w:t>zat</w:t>
      </w:r>
      <w:proofErr w:type="spellEnd"/>
      <w:r w:rsidRPr="003F221D">
        <w:t xml:space="preserve"> </w:t>
      </w:r>
      <w:proofErr w:type="spellStart"/>
      <w:r w:rsidRPr="003F221D">
        <w:t>padat</w:t>
      </w:r>
      <w:proofErr w:type="spellEnd"/>
      <w:r w:rsidRPr="003F221D">
        <w:t xml:space="preserve"> yang </w:t>
      </w:r>
      <w:proofErr w:type="spellStart"/>
      <w:r w:rsidRPr="003F221D">
        <w:t>menjadi</w:t>
      </w:r>
      <w:proofErr w:type="spellEnd"/>
      <w:r w:rsidRPr="003F221D">
        <w:t xml:space="preserve"> </w:t>
      </w:r>
      <w:proofErr w:type="spellStart"/>
      <w:r w:rsidRPr="003F221D">
        <w:t>dasar</w:t>
      </w:r>
      <w:proofErr w:type="spellEnd"/>
      <w:r w:rsidRPr="003F221D">
        <w:t xml:space="preserve"> </w:t>
      </w:r>
      <w:proofErr w:type="spellStart"/>
      <w:r w:rsidRPr="003F221D">
        <w:t>bagi</w:t>
      </w:r>
      <w:proofErr w:type="spellEnd"/>
      <w:r w:rsidRPr="003F221D">
        <w:t xml:space="preserve"> </w:t>
      </w:r>
      <w:proofErr w:type="spellStart"/>
      <w:r w:rsidRPr="003F221D">
        <w:t>berbagai</w:t>
      </w:r>
      <w:proofErr w:type="spellEnd"/>
      <w:r w:rsidRPr="003F221D">
        <w:t xml:space="preserve"> </w:t>
      </w:r>
      <w:proofErr w:type="spellStart"/>
      <w:r w:rsidRPr="003F221D">
        <w:t>macam</w:t>
      </w:r>
      <w:proofErr w:type="spellEnd"/>
      <w:r w:rsidRPr="003F221D">
        <w:t xml:space="preserve"> sensor modern </w:t>
      </w:r>
      <w:proofErr w:type="spellStart"/>
      <w:r w:rsidRPr="003F221D">
        <w:t>untuk</w:t>
      </w:r>
      <w:proofErr w:type="spellEnd"/>
      <w:r w:rsidRPr="003F221D">
        <w:t xml:space="preserve"> </w:t>
      </w:r>
      <w:proofErr w:type="spellStart"/>
      <w:r w:rsidRPr="003F221D">
        <w:t>pengukuran</w:t>
      </w:r>
      <w:proofErr w:type="spellEnd"/>
      <w:r w:rsidRPr="003F221D">
        <w:t xml:space="preserve"> </w:t>
      </w:r>
      <w:proofErr w:type="spellStart"/>
      <w:r w:rsidRPr="003F221D">
        <w:t>posisi</w:t>
      </w:r>
      <w:proofErr w:type="spellEnd"/>
      <w:r w:rsidRPr="003F221D">
        <w:t xml:space="preserve"> </w:t>
      </w:r>
      <w:proofErr w:type="spellStart"/>
      <w:r w:rsidRPr="003F221D">
        <w:t>kecepatan</w:t>
      </w:r>
      <w:proofErr w:type="spellEnd"/>
      <w:r w:rsidRPr="003F221D">
        <w:t xml:space="preserve"> dan </w:t>
      </w:r>
      <w:proofErr w:type="spellStart"/>
      <w:r w:rsidRPr="003F221D">
        <w:t>medan</w:t>
      </w:r>
      <w:proofErr w:type="spellEnd"/>
      <w:r w:rsidRPr="003F221D">
        <w:t xml:space="preserve"> magnet </w:t>
      </w:r>
      <w:proofErr w:type="spellStart"/>
      <w:r w:rsidRPr="003F221D">
        <w:t>Peralatan</w:t>
      </w:r>
      <w:proofErr w:type="spellEnd"/>
      <w:r w:rsidRPr="003F221D">
        <w:t xml:space="preserve"> </w:t>
      </w:r>
      <w:proofErr w:type="spellStart"/>
      <w:r w:rsidRPr="003F221D">
        <w:t>ini</w:t>
      </w:r>
      <w:proofErr w:type="spellEnd"/>
      <w:r w:rsidRPr="003F221D">
        <w:t xml:space="preserve"> </w:t>
      </w:r>
      <w:proofErr w:type="spellStart"/>
      <w:r w:rsidRPr="003F221D">
        <w:t>dirancang</w:t>
      </w:r>
      <w:proofErr w:type="spellEnd"/>
      <w:r w:rsidRPr="003F221D">
        <w:t xml:space="preserve"> </w:t>
      </w:r>
      <w:proofErr w:type="spellStart"/>
      <w:r w:rsidRPr="003F221D">
        <w:t>secara</w:t>
      </w:r>
      <w:proofErr w:type="spellEnd"/>
      <w:r w:rsidRPr="003F221D">
        <w:t xml:space="preserve"> </w:t>
      </w:r>
      <w:proofErr w:type="spellStart"/>
      <w:r w:rsidRPr="003F221D">
        <w:t>cermat</w:t>
      </w:r>
      <w:proofErr w:type="spellEnd"/>
      <w:r w:rsidRPr="003F221D">
        <w:t xml:space="preserve"> </w:t>
      </w:r>
      <w:proofErr w:type="spellStart"/>
      <w:r w:rsidRPr="003F221D">
        <w:t>untuk</w:t>
      </w:r>
      <w:proofErr w:type="spellEnd"/>
      <w:r w:rsidRPr="003F221D">
        <w:t xml:space="preserve"> </w:t>
      </w:r>
      <w:proofErr w:type="spellStart"/>
      <w:r w:rsidRPr="003F221D">
        <w:t>membantu</w:t>
      </w:r>
      <w:proofErr w:type="spellEnd"/>
      <w:r w:rsidRPr="003F221D">
        <w:t xml:space="preserve"> </w:t>
      </w:r>
      <w:proofErr w:type="spellStart"/>
      <w:r w:rsidRPr="003F221D">
        <w:t>mahasiswa</w:t>
      </w:r>
      <w:proofErr w:type="spellEnd"/>
      <w:r w:rsidRPr="003F221D">
        <w:t xml:space="preserve"> </w:t>
      </w:r>
      <w:proofErr w:type="spellStart"/>
      <w:r w:rsidRPr="003F221D">
        <w:t>memahami</w:t>
      </w:r>
      <w:proofErr w:type="spellEnd"/>
      <w:r w:rsidRPr="003F221D">
        <w:t xml:space="preserve"> </w:t>
      </w:r>
      <w:proofErr w:type="spellStart"/>
      <w:r w:rsidRPr="003F221D">
        <w:t>prinsip</w:t>
      </w:r>
      <w:proofErr w:type="spellEnd"/>
      <w:r w:rsidRPr="003F221D">
        <w:t xml:space="preserve"> </w:t>
      </w:r>
      <w:proofErr w:type="spellStart"/>
      <w:r w:rsidRPr="003F221D">
        <w:t>eksperimental</w:t>
      </w:r>
      <w:proofErr w:type="spellEnd"/>
      <w:r w:rsidRPr="003F221D">
        <w:t xml:space="preserve"> </w:t>
      </w:r>
      <w:proofErr w:type="spellStart"/>
      <w:r w:rsidRPr="003F221D">
        <w:t>Efek</w:t>
      </w:r>
      <w:proofErr w:type="spellEnd"/>
      <w:r w:rsidRPr="003F221D">
        <w:t xml:space="preserve"> Hall </w:t>
      </w:r>
      <w:proofErr w:type="spellStart"/>
      <w:r w:rsidRPr="003F221D">
        <w:t>mengkarakterisasi</w:t>
      </w:r>
      <w:proofErr w:type="spellEnd"/>
      <w:r w:rsidRPr="003F221D">
        <w:t xml:space="preserve"> </w:t>
      </w:r>
      <w:proofErr w:type="spellStart"/>
      <w:r w:rsidRPr="003F221D">
        <w:t>sensitivitas</w:t>
      </w:r>
      <w:proofErr w:type="spellEnd"/>
      <w:r w:rsidRPr="003F221D">
        <w:t xml:space="preserve"> sensor dan </w:t>
      </w:r>
      <w:proofErr w:type="spellStart"/>
      <w:r w:rsidRPr="003F221D">
        <w:t>belajar</w:t>
      </w:r>
      <w:proofErr w:type="spellEnd"/>
      <w:r w:rsidRPr="003F221D">
        <w:t xml:space="preserve"> </w:t>
      </w:r>
      <w:proofErr w:type="spellStart"/>
      <w:r w:rsidRPr="003F221D">
        <w:t>bagaimana</w:t>
      </w:r>
      <w:proofErr w:type="spellEnd"/>
      <w:r w:rsidRPr="003F221D">
        <w:t xml:space="preserve"> </w:t>
      </w:r>
      <w:proofErr w:type="spellStart"/>
      <w:r w:rsidRPr="003F221D">
        <w:t>menggunakannya</w:t>
      </w:r>
      <w:proofErr w:type="spellEnd"/>
      <w:r w:rsidRPr="003F221D">
        <w:t xml:space="preserve"> </w:t>
      </w:r>
      <w:proofErr w:type="spellStart"/>
      <w:r w:rsidRPr="003F221D">
        <w:t>sebagai</w:t>
      </w:r>
      <w:proofErr w:type="spellEnd"/>
      <w:r w:rsidRPr="003F221D">
        <w:t xml:space="preserve"> </w:t>
      </w:r>
      <w:proofErr w:type="spellStart"/>
      <w:r w:rsidRPr="003F221D">
        <w:t>alat</w:t>
      </w:r>
      <w:proofErr w:type="spellEnd"/>
      <w:r w:rsidRPr="003F221D">
        <w:t xml:space="preserve"> </w:t>
      </w:r>
      <w:proofErr w:type="spellStart"/>
      <w:r w:rsidRPr="003F221D">
        <w:t>ukur</w:t>
      </w:r>
      <w:proofErr w:type="spellEnd"/>
      <w:r w:rsidRPr="003F221D">
        <w:t xml:space="preserve"> yang </w:t>
      </w:r>
      <w:proofErr w:type="spellStart"/>
      <w:r w:rsidRPr="003F221D">
        <w:t>presisi</w:t>
      </w:r>
      <w:proofErr w:type="spellEnd"/>
    </w:p>
    <w:p w14:paraId="5EA92FA4" w14:textId="77777777" w:rsidR="003F221D" w:rsidRPr="003F221D" w:rsidRDefault="003F221D" w:rsidP="003F221D">
      <w:pPr>
        <w:spacing w:after="0" w:line="240" w:lineRule="auto"/>
        <w:jc w:val="both"/>
      </w:pPr>
      <w:r w:rsidRPr="003F221D">
        <w:t xml:space="preserve">Inti </w:t>
      </w:r>
      <w:proofErr w:type="spellStart"/>
      <w:r w:rsidRPr="003F221D">
        <w:t>dari</w:t>
      </w:r>
      <w:proofErr w:type="spellEnd"/>
      <w:r w:rsidRPr="003F221D">
        <w:t xml:space="preserve"> </w:t>
      </w:r>
      <w:proofErr w:type="spellStart"/>
      <w:r w:rsidRPr="003F221D">
        <w:t>peralatan</w:t>
      </w:r>
      <w:proofErr w:type="spellEnd"/>
      <w:r w:rsidRPr="003F221D">
        <w:t xml:space="preserve"> </w:t>
      </w:r>
      <w:proofErr w:type="spellStart"/>
      <w:r w:rsidRPr="003F221D">
        <w:t>ini</w:t>
      </w:r>
      <w:proofErr w:type="spellEnd"/>
      <w:r w:rsidRPr="003F221D">
        <w:t xml:space="preserve"> </w:t>
      </w:r>
      <w:proofErr w:type="spellStart"/>
      <w:r w:rsidRPr="003F221D">
        <w:t>adalah</w:t>
      </w:r>
      <w:proofErr w:type="spellEnd"/>
      <w:r w:rsidRPr="003F221D">
        <w:t xml:space="preserve"> </w:t>
      </w:r>
      <w:proofErr w:type="spellStart"/>
      <w:r w:rsidRPr="003F221D">
        <w:t>elemen</w:t>
      </w:r>
      <w:proofErr w:type="spellEnd"/>
      <w:r w:rsidRPr="003F221D">
        <w:t xml:space="preserve"> Hall Gallium Arsenide (GaAs) </w:t>
      </w:r>
      <w:proofErr w:type="spellStart"/>
      <w:r w:rsidRPr="003F221D">
        <w:t>berkualitas</w:t>
      </w:r>
      <w:proofErr w:type="spellEnd"/>
      <w:r w:rsidRPr="003F221D">
        <w:t xml:space="preserve"> </w:t>
      </w:r>
      <w:proofErr w:type="spellStart"/>
      <w:r w:rsidRPr="003F221D">
        <w:t>tinggi</w:t>
      </w:r>
      <w:proofErr w:type="spellEnd"/>
      <w:r w:rsidRPr="003F221D">
        <w:t xml:space="preserve"> Sensor </w:t>
      </w:r>
      <w:proofErr w:type="spellStart"/>
      <w:r w:rsidRPr="003F221D">
        <w:t>canggih</w:t>
      </w:r>
      <w:proofErr w:type="spellEnd"/>
      <w:r w:rsidRPr="003F221D">
        <w:t xml:space="preserve"> </w:t>
      </w:r>
      <w:proofErr w:type="spellStart"/>
      <w:r w:rsidRPr="003F221D">
        <w:t>ini</w:t>
      </w:r>
      <w:proofErr w:type="spellEnd"/>
      <w:r w:rsidRPr="003F221D">
        <w:t xml:space="preserve"> </w:t>
      </w:r>
      <w:proofErr w:type="spellStart"/>
      <w:r w:rsidRPr="003F221D">
        <w:t>dipilih</w:t>
      </w:r>
      <w:proofErr w:type="spellEnd"/>
      <w:r w:rsidRPr="003F221D">
        <w:t xml:space="preserve"> </w:t>
      </w:r>
      <w:proofErr w:type="spellStart"/>
      <w:r w:rsidRPr="003F221D">
        <w:t>karena</w:t>
      </w:r>
      <w:proofErr w:type="spellEnd"/>
      <w:r w:rsidRPr="003F221D">
        <w:t xml:space="preserve"> </w:t>
      </w:r>
      <w:proofErr w:type="spellStart"/>
      <w:r w:rsidRPr="003F221D">
        <w:t>sensitivitasnya</w:t>
      </w:r>
      <w:proofErr w:type="spellEnd"/>
      <w:r w:rsidRPr="003F221D">
        <w:t xml:space="preserve"> yang </w:t>
      </w:r>
      <w:proofErr w:type="spellStart"/>
      <w:r w:rsidRPr="003F221D">
        <w:t>tinggi</w:t>
      </w:r>
      <w:proofErr w:type="spellEnd"/>
      <w:r w:rsidRPr="003F221D">
        <w:t xml:space="preserve"> </w:t>
      </w:r>
      <w:proofErr w:type="spellStart"/>
      <w:r w:rsidRPr="003F221D">
        <w:t>rentang</w:t>
      </w:r>
      <w:proofErr w:type="spellEnd"/>
      <w:r w:rsidRPr="003F221D">
        <w:t xml:space="preserve"> linear yang </w:t>
      </w:r>
      <w:proofErr w:type="spellStart"/>
      <w:r w:rsidRPr="003F221D">
        <w:t>lebar</w:t>
      </w:r>
      <w:proofErr w:type="spellEnd"/>
      <w:r w:rsidRPr="003F221D">
        <w:t xml:space="preserve"> dan </w:t>
      </w:r>
      <w:proofErr w:type="spellStart"/>
      <w:r w:rsidRPr="003F221D">
        <w:t>koefisien</w:t>
      </w:r>
      <w:proofErr w:type="spellEnd"/>
      <w:r w:rsidRPr="003F221D">
        <w:t xml:space="preserve"> </w:t>
      </w:r>
      <w:proofErr w:type="spellStart"/>
      <w:r w:rsidRPr="003F221D">
        <w:t>suhu</w:t>
      </w:r>
      <w:proofErr w:type="spellEnd"/>
      <w:r w:rsidRPr="003F221D">
        <w:t xml:space="preserve"> yang </w:t>
      </w:r>
      <w:proofErr w:type="spellStart"/>
      <w:r w:rsidRPr="003F221D">
        <w:t>rendah</w:t>
      </w:r>
      <w:proofErr w:type="spellEnd"/>
      <w:r w:rsidRPr="003F221D">
        <w:t xml:space="preserve"> yang </w:t>
      </w:r>
      <w:proofErr w:type="spellStart"/>
      <w:r w:rsidRPr="003F221D">
        <w:t>semuanya</w:t>
      </w:r>
      <w:proofErr w:type="spellEnd"/>
      <w:r w:rsidRPr="003F221D">
        <w:t xml:space="preserve"> </w:t>
      </w:r>
      <w:proofErr w:type="spellStart"/>
      <w:r w:rsidRPr="003F221D">
        <w:t>berkontribusi</w:t>
      </w:r>
      <w:proofErr w:type="spellEnd"/>
      <w:r w:rsidRPr="003F221D">
        <w:t xml:space="preserve"> pada data </w:t>
      </w:r>
      <w:proofErr w:type="spellStart"/>
      <w:r w:rsidRPr="003F221D">
        <w:t>eksperimental</w:t>
      </w:r>
      <w:proofErr w:type="spellEnd"/>
      <w:r w:rsidRPr="003F221D">
        <w:t xml:space="preserve"> yang sangat </w:t>
      </w:r>
      <w:proofErr w:type="spellStart"/>
      <w:r w:rsidRPr="003F221D">
        <w:t>stabil</w:t>
      </w:r>
      <w:proofErr w:type="spellEnd"/>
      <w:r w:rsidRPr="003F221D">
        <w:t xml:space="preserve"> dan </w:t>
      </w:r>
      <w:proofErr w:type="spellStart"/>
      <w:r w:rsidRPr="003F221D">
        <w:t>dapat</w:t>
      </w:r>
      <w:proofErr w:type="spellEnd"/>
      <w:r w:rsidRPr="003F221D">
        <w:t xml:space="preserve"> </w:t>
      </w:r>
      <w:proofErr w:type="spellStart"/>
      <w:r w:rsidRPr="003F221D">
        <w:t>diandalkan</w:t>
      </w:r>
      <w:proofErr w:type="spellEnd"/>
      <w:r w:rsidRPr="003F221D">
        <w:t xml:space="preserve"> Desain </w:t>
      </w:r>
      <w:proofErr w:type="spellStart"/>
      <w:r w:rsidRPr="003F221D">
        <w:t>elektromagnet</w:t>
      </w:r>
      <w:proofErr w:type="spellEnd"/>
      <w:r w:rsidRPr="003F221D">
        <w:t xml:space="preserve"> yang </w:t>
      </w:r>
      <w:proofErr w:type="spellStart"/>
      <w:r w:rsidRPr="003F221D">
        <w:t>efisien</w:t>
      </w:r>
      <w:proofErr w:type="spellEnd"/>
      <w:r w:rsidRPr="003F221D">
        <w:t xml:space="preserve"> juga </w:t>
      </w:r>
      <w:proofErr w:type="spellStart"/>
      <w:r w:rsidRPr="003F221D">
        <w:t>memastikan</w:t>
      </w:r>
      <w:proofErr w:type="spellEnd"/>
      <w:r w:rsidRPr="003F221D">
        <w:t xml:space="preserve"> </w:t>
      </w:r>
      <w:proofErr w:type="spellStart"/>
      <w:r w:rsidRPr="003F221D">
        <w:t>bahwa</w:t>
      </w:r>
      <w:proofErr w:type="spellEnd"/>
      <w:r w:rsidRPr="003F221D">
        <w:t xml:space="preserve"> </w:t>
      </w:r>
      <w:proofErr w:type="spellStart"/>
      <w:r w:rsidRPr="003F221D">
        <w:t>arus</w:t>
      </w:r>
      <w:proofErr w:type="spellEnd"/>
      <w:r w:rsidRPr="003F221D">
        <w:t xml:space="preserve"> </w:t>
      </w:r>
      <w:proofErr w:type="spellStart"/>
      <w:r w:rsidRPr="003F221D">
        <w:t>eksitasi</w:t>
      </w:r>
      <w:proofErr w:type="spellEnd"/>
      <w:r w:rsidRPr="003F221D">
        <w:t xml:space="preserve"> yang </w:t>
      </w:r>
      <w:proofErr w:type="spellStart"/>
      <w:r w:rsidRPr="003F221D">
        <w:t>dibutuhkan</w:t>
      </w:r>
      <w:proofErr w:type="spellEnd"/>
      <w:r w:rsidRPr="003F221D">
        <w:t xml:space="preserve"> </w:t>
      </w:r>
      <w:proofErr w:type="spellStart"/>
      <w:r w:rsidRPr="003F221D">
        <w:t>kecil</w:t>
      </w:r>
      <w:proofErr w:type="spellEnd"/>
      <w:r w:rsidRPr="003F221D">
        <w:t xml:space="preserve"> </w:t>
      </w:r>
      <w:proofErr w:type="spellStart"/>
      <w:r w:rsidRPr="003F221D">
        <w:t>sehingga</w:t>
      </w:r>
      <w:proofErr w:type="spellEnd"/>
      <w:r w:rsidRPr="003F221D">
        <w:t xml:space="preserve"> </w:t>
      </w:r>
      <w:proofErr w:type="spellStart"/>
      <w:r w:rsidRPr="003F221D">
        <w:t>menjaga</w:t>
      </w:r>
      <w:proofErr w:type="spellEnd"/>
      <w:r w:rsidRPr="003F221D">
        <w:t xml:space="preserve"> </w:t>
      </w:r>
      <w:proofErr w:type="spellStart"/>
      <w:r w:rsidRPr="003F221D">
        <w:t>stabilitas</w:t>
      </w:r>
      <w:proofErr w:type="spellEnd"/>
      <w:r w:rsidRPr="003F221D">
        <w:t xml:space="preserve"> </w:t>
      </w:r>
      <w:proofErr w:type="spellStart"/>
      <w:r w:rsidRPr="003F221D">
        <w:t>sistem</w:t>
      </w:r>
      <w:proofErr w:type="spellEnd"/>
      <w:r w:rsidRPr="003F221D">
        <w:t xml:space="preserve"> </w:t>
      </w:r>
      <w:proofErr w:type="spellStart"/>
      <w:r w:rsidRPr="003F221D">
        <w:t>secara</w:t>
      </w:r>
      <w:proofErr w:type="spellEnd"/>
      <w:r w:rsidRPr="003F221D">
        <w:t xml:space="preserve"> </w:t>
      </w:r>
      <w:proofErr w:type="spellStart"/>
      <w:r w:rsidRPr="003F221D">
        <w:t>keseluruhan</w:t>
      </w:r>
      <w:proofErr w:type="spellEnd"/>
    </w:p>
    <w:p w14:paraId="1B95989F" w14:textId="77777777" w:rsidR="003F221D" w:rsidRPr="003F221D" w:rsidRDefault="003F221D" w:rsidP="003F221D">
      <w:pPr>
        <w:spacing w:after="0" w:line="240" w:lineRule="auto"/>
        <w:jc w:val="both"/>
        <w:rPr>
          <w:lang w:val="sv-SE"/>
        </w:rPr>
      </w:pPr>
      <w:r w:rsidRPr="003F221D">
        <w:rPr>
          <w:lang w:val="sv-SE"/>
        </w:rPr>
        <w:t>Eksperimen dimulai dengan karakterisasi fundamental dari sensor itu sendiri Mahasiswa akan mempelajari hubungan antara arus Hall dan tegangan Hall di bawah pengaruh medan magnet DC yang konstan Proses ini memungkinkan mereka untuk secara akurat mengukur dan menghitung sensitivitas dari elemen Hall GaAs tersebut sebuah parameter kinerja utama yang mendefinisikan seberapa baik sensor dapat mendeteksi medan magnet</w:t>
      </w:r>
    </w:p>
    <w:p w14:paraId="550CD0C5" w14:textId="77777777" w:rsidR="003F221D" w:rsidRPr="003F221D" w:rsidRDefault="003F221D" w:rsidP="003F221D">
      <w:pPr>
        <w:spacing w:after="0" w:line="240" w:lineRule="auto"/>
        <w:jc w:val="both"/>
        <w:rPr>
          <w:lang w:val="sv-SE"/>
        </w:rPr>
      </w:pPr>
      <w:r w:rsidRPr="003F221D">
        <w:rPr>
          <w:lang w:val="sv-SE"/>
        </w:rPr>
        <w:t>Setelah sensor terkarakterisasi perangkat ini menunjukkan aplikasi praktisnya yang kuat Mahasiswa akan menggunakan elemen Hall yang telah dikalibrasi sebagai magnetometer presisi untuk menyelidiki sifat magnetik material lain Secara khusus mereka akan melakukan eksperimen untuk mengukur dan memplot kurva magnetik dari selembar baja silikon sebuah demonstrasi langsung tentang bagaimana sensor Hall digunakan dalam karakterisasi material di dunia nyata</w:t>
      </w:r>
    </w:p>
    <w:p w14:paraId="67B1FA91" w14:textId="77777777" w:rsidR="003F221D" w:rsidRPr="003F221D" w:rsidRDefault="003F221D" w:rsidP="003F221D">
      <w:pPr>
        <w:spacing w:after="0" w:line="240" w:lineRule="auto"/>
        <w:jc w:val="both"/>
        <w:rPr>
          <w:lang w:val="sv-SE"/>
        </w:rPr>
      </w:pPr>
      <w:r w:rsidRPr="003F221D">
        <w:rPr>
          <w:lang w:val="sv-SE"/>
        </w:rPr>
        <w:t>Dirancang dengan mempertimbangkan aplikasi pengajaran dan penelitian yang sebenarnya tata letak sirkuit yang masuk akal memungkinkan mahasiswa untuk dengan mudah melihat dan memahami struktur dan koneksi Desain yang kokoh dengan perangkat proteksi terintegrasi memastikan masa pakai yang lama sementara instrumen digital seperti sumber arus voltmeter dan teslameter menyediakan pembacaan yang jelas dan akurat</w:t>
      </w:r>
    </w:p>
    <w:p w14:paraId="31E6872F" w14:textId="77777777" w:rsidR="003F221D" w:rsidRPr="003F221D" w:rsidRDefault="003F221D" w:rsidP="003F221D">
      <w:pPr>
        <w:pBdr>
          <w:bottom w:val="double" w:sz="6" w:space="1" w:color="auto"/>
        </w:pBdr>
        <w:spacing w:after="0" w:line="240" w:lineRule="auto"/>
        <w:jc w:val="both"/>
        <w:rPr>
          <w:lang w:val="sv-SE"/>
        </w:rPr>
      </w:pPr>
      <w:r w:rsidRPr="003F221D">
        <w:rPr>
          <w:lang w:val="sv-SE"/>
        </w:rPr>
        <w:t>Secara keseluruhan peralatan Efek Hall ini adalah solusi pengajaran yang sangat efektif dan komprehensif Cocok untuk berbagai tingkatan mulai dari sekolah menengah teknik hingga eksperimen fisika dasar dan perancangan di perguruan tinggi perangkat ini mengubah konsep Efek Hall dari teori buku teks menjadi alat eksperimental yang praktis dan serbaguna</w:t>
      </w:r>
    </w:p>
    <w:p w14:paraId="71FB0B50" w14:textId="77777777" w:rsidR="003F221D" w:rsidRPr="003F221D" w:rsidRDefault="003F221D" w:rsidP="003F221D">
      <w:pPr>
        <w:spacing w:after="0" w:line="240" w:lineRule="auto"/>
        <w:jc w:val="both"/>
      </w:pPr>
      <w:r w:rsidRPr="003F221D">
        <w:t>Introducing an experimental system specifically dedicated to the in-depth study of the Hall Effect a solid-state physics principle that forms the basis for a wide variety of modern sensors for position speed and magnetic field measurement This apparatus is meticulously designed to help students understand the experimental principle of the Hall Effect characterize a sensor's sensitivity and learn how to use it as a precision measurement tool</w:t>
      </w:r>
    </w:p>
    <w:p w14:paraId="46EDE231" w14:textId="77777777" w:rsidR="003F221D" w:rsidRPr="003F221D" w:rsidRDefault="003F221D" w:rsidP="003F221D">
      <w:pPr>
        <w:spacing w:after="0" w:line="240" w:lineRule="auto"/>
        <w:jc w:val="both"/>
      </w:pPr>
      <w:r w:rsidRPr="003F221D">
        <w:t>At the heart of this apparatus is a high-quality Gallium Arsenide (GaAs) Hall element This advanced sensor is chosen for its high sensitivity wide linear range and low temperature coefficient all of which contribute to exceptionally stable and reliable experimental data The efficient electromagnet design also ensures that the required excitation current is small further maintaining overall system stability</w:t>
      </w:r>
    </w:p>
    <w:p w14:paraId="2F0B3B75" w14:textId="77777777" w:rsidR="003F221D" w:rsidRPr="003F221D" w:rsidRDefault="003F221D" w:rsidP="003F221D">
      <w:pPr>
        <w:spacing w:after="0" w:line="240" w:lineRule="auto"/>
        <w:jc w:val="both"/>
      </w:pPr>
      <w:r w:rsidRPr="003F221D">
        <w:t>The experiment begins with the fundamental characterization of the sensor itself Students will study the relationship between the Hall current and Hall voltage under the influence of a constant DC magnetic field This process allows them to accurately measure and calculate the sensitivity of the GaAs Hall element a key performance parameter that defines how well the sensor can detect a magnetic field</w:t>
      </w:r>
    </w:p>
    <w:p w14:paraId="5CF4C02F" w14:textId="77777777" w:rsidR="003F221D" w:rsidRPr="003F221D" w:rsidRDefault="003F221D" w:rsidP="003F221D">
      <w:pPr>
        <w:spacing w:after="0" w:line="240" w:lineRule="auto"/>
        <w:jc w:val="both"/>
      </w:pPr>
      <w:r w:rsidRPr="003F221D">
        <w:t xml:space="preserve">Once the sensor is characterized the apparatus demonstrates its powerful practical application Students will then use the calibrated Hall element as a precision magnetometer to investigate the magnetic properties of another material </w:t>
      </w:r>
      <w:proofErr w:type="gramStart"/>
      <w:r w:rsidRPr="003F221D">
        <w:t>Specifically</w:t>
      </w:r>
      <w:proofErr w:type="gramEnd"/>
      <w:r w:rsidRPr="003F221D">
        <w:t xml:space="preserve"> they will conduct an experiment to measure and plot the magnetic curve of a silicon steel sheet a direct demonstration of how Hall sensors are used in real-world material characterization</w:t>
      </w:r>
    </w:p>
    <w:p w14:paraId="347DAC42" w14:textId="77777777" w:rsidR="003F221D" w:rsidRPr="003F221D" w:rsidRDefault="003F221D" w:rsidP="003F221D">
      <w:pPr>
        <w:spacing w:after="0" w:line="240" w:lineRule="auto"/>
        <w:jc w:val="both"/>
      </w:pPr>
      <w:r w:rsidRPr="003F221D">
        <w:t xml:space="preserve">Designed with actual teaching and research applications in mind the reasonable circuit layout allows students to easily see and understand the structures and connections The robust design with </w:t>
      </w:r>
      <w:r w:rsidRPr="003F221D">
        <w:lastRenderedPageBreak/>
        <w:t xml:space="preserve">integrated protection devices ensures a long service life while digital instruments like the current source voltmeter and </w:t>
      </w:r>
      <w:proofErr w:type="spellStart"/>
      <w:r w:rsidRPr="003F221D">
        <w:t>teslameter</w:t>
      </w:r>
      <w:proofErr w:type="spellEnd"/>
      <w:r w:rsidRPr="003F221D">
        <w:t xml:space="preserve"> provide clear and accurate readings</w:t>
      </w:r>
    </w:p>
    <w:p w14:paraId="54462A01" w14:textId="77777777" w:rsidR="003F221D" w:rsidRPr="003F221D" w:rsidRDefault="003F221D" w:rsidP="003F221D">
      <w:pPr>
        <w:spacing w:after="0" w:line="240" w:lineRule="auto"/>
        <w:jc w:val="both"/>
      </w:pPr>
      <w:proofErr w:type="gramStart"/>
      <w:r w:rsidRPr="003F221D">
        <w:t>Overall</w:t>
      </w:r>
      <w:proofErr w:type="gramEnd"/>
      <w:r w:rsidRPr="003F221D">
        <w:t xml:space="preserve"> this Hall Effect apparatus is a highly effective and comprehensive teaching solution Suitable for a wide range of levels from technical secondary schools to fundamental physics and design experiments in college this device transforms the concept of the Hall Effect from a textbook theory into a practical and versatile experimental tool</w:t>
      </w:r>
    </w:p>
    <w:p w14:paraId="02BE1CAC" w14:textId="77777777" w:rsidR="003F221D" w:rsidRDefault="003F221D" w:rsidP="003F221D">
      <w:pPr>
        <w:spacing w:after="0" w:line="240" w:lineRule="auto"/>
        <w:jc w:val="both"/>
      </w:pPr>
    </w:p>
    <w:sectPr w:rsidR="003F2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21D"/>
    <w:rsid w:val="000D6E49"/>
    <w:rsid w:val="001338A9"/>
    <w:rsid w:val="002E2B5A"/>
    <w:rsid w:val="002F7BBA"/>
    <w:rsid w:val="00307549"/>
    <w:rsid w:val="003B5ABF"/>
    <w:rsid w:val="003F221D"/>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EDBEC"/>
  <w15:chartTrackingRefBased/>
  <w15:docId w15:val="{673A42BB-AC53-45C1-B05F-67DCEE630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2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2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22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22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22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2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3F22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22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22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22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22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2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21D"/>
    <w:rPr>
      <w:rFonts w:eastAsiaTheme="majorEastAsia" w:cstheme="majorBidi"/>
      <w:color w:val="272727" w:themeColor="text1" w:themeTint="D8"/>
    </w:rPr>
  </w:style>
  <w:style w:type="paragraph" w:styleId="Title">
    <w:name w:val="Title"/>
    <w:basedOn w:val="Normal"/>
    <w:next w:val="Normal"/>
    <w:link w:val="TitleChar"/>
    <w:uiPriority w:val="10"/>
    <w:qFormat/>
    <w:rsid w:val="003F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21D"/>
    <w:pPr>
      <w:spacing w:before="160"/>
      <w:jc w:val="center"/>
    </w:pPr>
    <w:rPr>
      <w:i/>
      <w:iCs/>
      <w:color w:val="404040" w:themeColor="text1" w:themeTint="BF"/>
    </w:rPr>
  </w:style>
  <w:style w:type="character" w:customStyle="1" w:styleId="QuoteChar">
    <w:name w:val="Quote Char"/>
    <w:basedOn w:val="DefaultParagraphFont"/>
    <w:link w:val="Quote"/>
    <w:uiPriority w:val="29"/>
    <w:rsid w:val="003F221D"/>
    <w:rPr>
      <w:i/>
      <w:iCs/>
      <w:color w:val="404040" w:themeColor="text1" w:themeTint="BF"/>
    </w:rPr>
  </w:style>
  <w:style w:type="paragraph" w:styleId="ListParagraph">
    <w:name w:val="List Paragraph"/>
    <w:basedOn w:val="Normal"/>
    <w:uiPriority w:val="34"/>
    <w:qFormat/>
    <w:rsid w:val="003F221D"/>
    <w:pPr>
      <w:ind w:left="720"/>
      <w:contextualSpacing/>
    </w:pPr>
  </w:style>
  <w:style w:type="character" w:styleId="IntenseEmphasis">
    <w:name w:val="Intense Emphasis"/>
    <w:basedOn w:val="DefaultParagraphFont"/>
    <w:uiPriority w:val="21"/>
    <w:qFormat/>
    <w:rsid w:val="003F221D"/>
    <w:rPr>
      <w:i/>
      <w:iCs/>
      <w:color w:val="2F5496" w:themeColor="accent1" w:themeShade="BF"/>
    </w:rPr>
  </w:style>
  <w:style w:type="paragraph" w:styleId="IntenseQuote">
    <w:name w:val="Intense Quote"/>
    <w:basedOn w:val="Normal"/>
    <w:next w:val="Normal"/>
    <w:link w:val="IntenseQuoteChar"/>
    <w:uiPriority w:val="30"/>
    <w:qFormat/>
    <w:rsid w:val="003F2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221D"/>
    <w:rPr>
      <w:i/>
      <w:iCs/>
      <w:color w:val="2F5496" w:themeColor="accent1" w:themeShade="BF"/>
    </w:rPr>
  </w:style>
  <w:style w:type="character" w:styleId="IntenseReference">
    <w:name w:val="Intense Reference"/>
    <w:basedOn w:val="DefaultParagraphFont"/>
    <w:uiPriority w:val="32"/>
    <w:qFormat/>
    <w:rsid w:val="003F22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736</Words>
  <Characters>4200</Characters>
  <Application>Microsoft Office Word</Application>
  <DocSecurity>0</DocSecurity>
  <Lines>35</Lines>
  <Paragraphs>9</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2025-10-01T05:17:00Z</dcterms:created>
  <dcterms:modified xsi:type="dcterms:W3CDTF">2025-10-01T05:22:00Z</dcterms:modified>
</cp:coreProperties>
</file>